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D895" w14:textId="77777777" w:rsidR="002320D6" w:rsidRDefault="00FD3E96" w:rsidP="00FD3E96">
      <w:pPr>
        <w:pStyle w:val="Heading1"/>
      </w:pPr>
      <w:bookmarkStart w:id="0" w:name="_GoBack"/>
      <w:bookmarkEnd w:id="0"/>
      <w:r>
        <w:t xml:space="preserve">Consultation with </w:t>
      </w:r>
      <w:proofErr w:type="spellStart"/>
      <w:r>
        <w:t>MedTech</w:t>
      </w:r>
      <w:proofErr w:type="spellEnd"/>
      <w:r>
        <w:t xml:space="preserve"> -</w:t>
      </w:r>
      <w:r w:rsidR="00635FAA">
        <w:t xml:space="preserve"> </w:t>
      </w:r>
      <w:r w:rsidR="005727DD">
        <w:t>Proposed Change</w:t>
      </w:r>
      <w:r w:rsidR="002320D6" w:rsidRPr="002320D6">
        <w:t xml:space="preserve"> to the List of Recognized Standards for Medical Devices</w:t>
      </w:r>
    </w:p>
    <w:p w14:paraId="4F0EBE05" w14:textId="77777777" w:rsidR="00FD3E96" w:rsidRDefault="00FD3E96" w:rsidP="00FD3E96"/>
    <w:p w14:paraId="039CA342" w14:textId="77777777" w:rsidR="00FD3E96" w:rsidRDefault="00FD3E96" w:rsidP="00FD3E96">
      <w:r>
        <w:t>The Medical Devices Directorate</w:t>
      </w:r>
      <w:r w:rsidR="009176FF">
        <w:t xml:space="preserve"> (MDD)</w:t>
      </w:r>
      <w:r>
        <w:t xml:space="preserve"> is </w:t>
      </w:r>
      <w:r w:rsidR="00635FAA">
        <w:t>planning</w:t>
      </w:r>
      <w:r>
        <w:t xml:space="preserve"> to change the way </w:t>
      </w:r>
      <w:r w:rsidR="009F653C">
        <w:t>we publish the List of Recognized Standards (LORS)</w:t>
      </w:r>
      <w:r>
        <w:t xml:space="preserve">, </w:t>
      </w:r>
      <w:r w:rsidR="00635FAA">
        <w:t xml:space="preserve">and is looking to get feedback from </w:t>
      </w:r>
      <w:proofErr w:type="spellStart"/>
      <w:r w:rsidR="00635FAA">
        <w:t>MedTech</w:t>
      </w:r>
      <w:proofErr w:type="spellEnd"/>
      <w:r w:rsidR="00635FAA">
        <w:t xml:space="preserve"> </w:t>
      </w:r>
      <w:r w:rsidR="004707BE">
        <w:t>for</w:t>
      </w:r>
      <w:r w:rsidR="00635FAA">
        <w:t xml:space="preserve"> </w:t>
      </w:r>
      <w:r w:rsidR="00DF3BEF">
        <w:t xml:space="preserve">an early </w:t>
      </w:r>
      <w:r w:rsidR="002B09A0">
        <w:t xml:space="preserve">perspective </w:t>
      </w:r>
      <w:r w:rsidR="004707BE">
        <w:t>on</w:t>
      </w:r>
      <w:r w:rsidR="00DF3BEF">
        <w:t xml:space="preserve"> the industry response to</w:t>
      </w:r>
      <w:r w:rsidR="002B09A0">
        <w:t xml:space="preserve"> the</w:t>
      </w:r>
      <w:r w:rsidR="00635FAA">
        <w:t xml:space="preserve"> proposed plan.</w:t>
      </w:r>
      <w:r w:rsidR="009176FF">
        <w:t xml:space="preserve"> </w:t>
      </w:r>
      <w:r w:rsidR="009F653C">
        <w:t>For reference, the current list can be accessed at the following link:</w:t>
      </w:r>
    </w:p>
    <w:p w14:paraId="2B2FBB7F" w14:textId="77777777" w:rsidR="009F653C" w:rsidRDefault="00F50982" w:rsidP="00FD3E96">
      <w:hyperlink r:id="rId8" w:history="1">
        <w:r w:rsidR="009F653C" w:rsidRPr="00CB6B2B">
          <w:rPr>
            <w:rStyle w:val="Hyperlink"/>
          </w:rPr>
          <w:t>https://www.canada.ca/en/health-canada/services/drugs-health-products/medical-devices/standards/list-recognized-standards-medical-devices-guidance.html</w:t>
        </w:r>
      </w:hyperlink>
    </w:p>
    <w:p w14:paraId="6138CA88" w14:textId="77777777" w:rsidR="009F653C" w:rsidRDefault="009F653C" w:rsidP="00FD3E96"/>
    <w:p w14:paraId="5ABEA39D" w14:textId="77777777" w:rsidR="009176FF" w:rsidRPr="009176FF" w:rsidRDefault="009176FF" w:rsidP="00FD3E96">
      <w:pPr>
        <w:rPr>
          <w:u w:val="single"/>
        </w:rPr>
      </w:pPr>
      <w:r w:rsidRPr="009176FF">
        <w:rPr>
          <w:u w:val="single"/>
        </w:rPr>
        <w:t>Proposed Plan:</w:t>
      </w:r>
    </w:p>
    <w:p w14:paraId="5E97A090" w14:textId="77777777" w:rsidR="009176FF" w:rsidRDefault="009176FF" w:rsidP="00FD3E96">
      <w:r>
        <w:t xml:space="preserve">MDD is planning on removing editions </w:t>
      </w:r>
      <w:r w:rsidR="009F653C">
        <w:t xml:space="preserve">and publication years from the </w:t>
      </w:r>
      <w:r w:rsidR="007955BF">
        <w:t>LORS</w:t>
      </w:r>
      <w:r>
        <w:t xml:space="preserve"> </w:t>
      </w:r>
      <w:r w:rsidR="00F21B65">
        <w:t>for most</w:t>
      </w:r>
      <w:r>
        <w:t xml:space="preserve"> of</w:t>
      </w:r>
      <w:r w:rsidR="00F21B65">
        <w:t xml:space="preserve"> the</w:t>
      </w:r>
      <w:r>
        <w:t xml:space="preserve"> standards </w:t>
      </w:r>
      <w:r w:rsidR="00277B46">
        <w:t>listed. Where no edition or publication year is listed</w:t>
      </w:r>
      <w:r w:rsidR="00CE520A">
        <w:t xml:space="preserve"> for a given standard in the LORS</w:t>
      </w:r>
      <w:r w:rsidR="00712ACC">
        <w:t xml:space="preserve"> (</w:t>
      </w:r>
      <w:proofErr w:type="spellStart"/>
      <w:r w:rsidR="00712ACC">
        <w:t>eg</w:t>
      </w:r>
      <w:proofErr w:type="spellEnd"/>
      <w:r w:rsidR="00712ACC">
        <w:t>. ISO XYZ)</w:t>
      </w:r>
      <w:r w:rsidR="00277B46">
        <w:t>, the most recent version of that standard would be the</w:t>
      </w:r>
      <w:r w:rsidR="00E37594">
        <w:t xml:space="preserve"> officially</w:t>
      </w:r>
      <w:r w:rsidR="00277B46">
        <w:t xml:space="preserve"> recognized version, with a three-year transition period</w:t>
      </w:r>
      <w:r w:rsidR="00E37594">
        <w:t xml:space="preserve"> from the date of publication</w:t>
      </w:r>
      <w:r w:rsidR="00277B46">
        <w:t xml:space="preserve">, during which the previous version would </w:t>
      </w:r>
      <w:r w:rsidR="004707BE">
        <w:t xml:space="preserve">also remain </w:t>
      </w:r>
      <w:r w:rsidR="00277B46">
        <w:t xml:space="preserve">recognized. </w:t>
      </w:r>
    </w:p>
    <w:p w14:paraId="79F7AF0B" w14:textId="77777777" w:rsidR="00E65EA2" w:rsidRDefault="00E65EA2" w:rsidP="00FD3E96"/>
    <w:p w14:paraId="2E032711" w14:textId="77777777" w:rsidR="00F21B65" w:rsidRDefault="00E37594" w:rsidP="00FD3E96">
      <w:r>
        <w:t>Where an edition or publication year is displayed</w:t>
      </w:r>
      <w:r w:rsidR="00CE520A">
        <w:t xml:space="preserve"> for a given standard</w:t>
      </w:r>
      <w:r w:rsidR="00712ACC">
        <w:t xml:space="preserve"> (</w:t>
      </w:r>
      <w:proofErr w:type="spellStart"/>
      <w:r w:rsidR="00712ACC">
        <w:t>eg</w:t>
      </w:r>
      <w:proofErr w:type="spellEnd"/>
      <w:r w:rsidR="00712ACC">
        <w:t>. ISO XYZ</w:t>
      </w:r>
      <w:proofErr w:type="gramStart"/>
      <w:r w:rsidR="00712ACC">
        <w:t>:2021</w:t>
      </w:r>
      <w:proofErr w:type="gramEnd"/>
      <w:r w:rsidR="00712ACC">
        <w:t>-Ed.2.0)</w:t>
      </w:r>
      <w:r>
        <w:t>, only that specific version</w:t>
      </w:r>
      <w:r w:rsidR="00CE520A">
        <w:t xml:space="preserve"> of the standard</w:t>
      </w:r>
      <w:r>
        <w:t xml:space="preserve"> would be officially recognized. This </w:t>
      </w:r>
      <w:r w:rsidR="00F21B65">
        <w:t xml:space="preserve">would occur in one of </w:t>
      </w:r>
      <w:r w:rsidR="00D9371C">
        <w:t>three</w:t>
      </w:r>
      <w:r w:rsidR="00F21B65">
        <w:t xml:space="preserve"> scenarios:</w:t>
      </w:r>
    </w:p>
    <w:p w14:paraId="49FE8A92" w14:textId="77777777" w:rsidR="00F21B65" w:rsidRDefault="00F21B65" w:rsidP="00F21B65">
      <w:pPr>
        <w:pStyle w:val="ListParagraph"/>
        <w:numPr>
          <w:ilvl w:val="0"/>
          <w:numId w:val="1"/>
        </w:numPr>
      </w:pPr>
      <w:r>
        <w:t>I</w:t>
      </w:r>
      <w:r w:rsidR="00E65EA2">
        <w:t xml:space="preserve">f MDD decides not </w:t>
      </w:r>
      <w:r>
        <w:t>to recognize</w:t>
      </w:r>
      <w:r w:rsidR="00E37594">
        <w:t xml:space="preserve"> a new version of a standard</w:t>
      </w:r>
      <w:r>
        <w:t xml:space="preserve">, the edition </w:t>
      </w:r>
      <w:r w:rsidR="00E65EA2">
        <w:t>and/</w:t>
      </w:r>
      <w:r>
        <w:t>or year of the accept</w:t>
      </w:r>
      <w:r w:rsidR="00E65EA2">
        <w:t>ed</w:t>
      </w:r>
      <w:r>
        <w:t xml:space="preserve"> older version would</w:t>
      </w:r>
      <w:r w:rsidR="00E65EA2">
        <w:t xml:space="preserve"> be displayed with the standard </w:t>
      </w:r>
      <w:r w:rsidR="00C56121">
        <w:t>designation number</w:t>
      </w:r>
      <w:r w:rsidR="00E65EA2">
        <w:t>. Only the</w:t>
      </w:r>
      <w:r>
        <w:t xml:space="preserve"> specified version would be considered as officially recognized.</w:t>
      </w:r>
    </w:p>
    <w:p w14:paraId="4516E33F" w14:textId="77777777" w:rsidR="00F21B65" w:rsidRDefault="00F21B65" w:rsidP="00F21B65">
      <w:pPr>
        <w:pStyle w:val="ListParagraph"/>
        <w:numPr>
          <w:ilvl w:val="0"/>
          <w:numId w:val="1"/>
        </w:numPr>
      </w:pPr>
      <w:r>
        <w:lastRenderedPageBreak/>
        <w:t>If</w:t>
      </w:r>
      <w:r w:rsidR="005B6A00">
        <w:t xml:space="preserve"> a new version of </w:t>
      </w:r>
      <w:r>
        <w:t xml:space="preserve">a recognized standard contains new information that MDD </w:t>
      </w:r>
      <w:r w:rsidR="00E65EA2">
        <w:t xml:space="preserve">deems necessary to </w:t>
      </w:r>
      <w:r>
        <w:t>support safety and effectiveness</w:t>
      </w:r>
      <w:r w:rsidR="00E65EA2">
        <w:t xml:space="preserve">, the edition and/or year of the </w:t>
      </w:r>
      <w:r w:rsidR="005B6A00">
        <w:t>new</w:t>
      </w:r>
      <w:r w:rsidR="00E65EA2">
        <w:t xml:space="preserve"> version of the standard would be displayed with the standard </w:t>
      </w:r>
      <w:r w:rsidR="00C56121">
        <w:t>designation number</w:t>
      </w:r>
      <w:r w:rsidR="00E65EA2">
        <w:t>. Only that newest version would be recognized and the three-year transition period from the previous version would not apply.</w:t>
      </w:r>
    </w:p>
    <w:p w14:paraId="1A18CA6C" w14:textId="77777777" w:rsidR="00D80EB6" w:rsidRDefault="00D80EB6" w:rsidP="00F21B65">
      <w:pPr>
        <w:pStyle w:val="ListParagraph"/>
        <w:numPr>
          <w:ilvl w:val="0"/>
          <w:numId w:val="1"/>
        </w:numPr>
      </w:pPr>
      <w:r>
        <w:t xml:space="preserve">If a section of a standard is not recognized, this would be detailed in a note under the standard in question according to current practice, </w:t>
      </w:r>
      <w:r w:rsidR="00D9371C">
        <w:t>but</w:t>
      </w:r>
      <w:r>
        <w:t xml:space="preserve"> would include the year </w:t>
      </w:r>
      <w:r w:rsidR="00712ACC">
        <w:t>and/</w:t>
      </w:r>
      <w:r>
        <w:t>or edition to which the note applies</w:t>
      </w:r>
      <w:r w:rsidR="009F653C">
        <w:t>, if applicable</w:t>
      </w:r>
      <w:r>
        <w:t>.</w:t>
      </w:r>
    </w:p>
    <w:p w14:paraId="441A3F3E" w14:textId="77777777" w:rsidR="00D80EB6" w:rsidRDefault="00D80EB6" w:rsidP="00D80EB6"/>
    <w:p w14:paraId="3DF8F53B" w14:textId="77777777" w:rsidR="002B09A0" w:rsidRDefault="002B09A0" w:rsidP="00D80EB6"/>
    <w:p w14:paraId="12E4ABC2" w14:textId="77777777" w:rsidR="002B09A0" w:rsidRPr="002B09A0" w:rsidRDefault="002B09A0" w:rsidP="00D80EB6">
      <w:pPr>
        <w:rPr>
          <w:u w:val="single"/>
        </w:rPr>
      </w:pPr>
      <w:r w:rsidRPr="002B09A0">
        <w:rPr>
          <w:u w:val="single"/>
        </w:rPr>
        <w:t>Header Note</w:t>
      </w:r>
    </w:p>
    <w:p w14:paraId="699DE45A" w14:textId="77777777" w:rsidR="002B09A0" w:rsidRDefault="002B09A0" w:rsidP="00D80EB6">
      <w:r>
        <w:t xml:space="preserve">To explain the details to external stakeholders accessing the </w:t>
      </w:r>
      <w:r w:rsidR="007955BF">
        <w:t>LORS</w:t>
      </w:r>
      <w:r>
        <w:t xml:space="preserve">, a </w:t>
      </w:r>
      <w:r w:rsidR="009F653C">
        <w:t>notice will</w:t>
      </w:r>
      <w:r>
        <w:t xml:space="preserve"> be </w:t>
      </w:r>
      <w:r w:rsidR="009F653C">
        <w:t xml:space="preserve">published </w:t>
      </w:r>
      <w:r>
        <w:t xml:space="preserve">at the start of the </w:t>
      </w:r>
      <w:r w:rsidR="009F653C">
        <w:t>LORS with the following proposed wording</w:t>
      </w:r>
      <w:r>
        <w:t>:</w:t>
      </w:r>
    </w:p>
    <w:p w14:paraId="694E3758" w14:textId="77777777" w:rsidR="002B09A0" w:rsidRDefault="002B09A0" w:rsidP="00D80EB6"/>
    <w:p w14:paraId="78AE2553" w14:textId="77777777" w:rsidR="00CE4FA6" w:rsidRPr="00CE4FA6" w:rsidRDefault="00CE4FA6" w:rsidP="00CE4FA6">
      <w:pPr>
        <w:rPr>
          <w:b/>
          <w:i/>
        </w:rPr>
      </w:pPr>
      <w:r w:rsidRPr="00CE4FA6">
        <w:rPr>
          <w:b/>
          <w:i/>
        </w:rPr>
        <w:t>Scope</w:t>
      </w:r>
    </w:p>
    <w:p w14:paraId="4BDAD2BE" w14:textId="77777777" w:rsidR="00CE4FA6" w:rsidRPr="00CE4FA6" w:rsidRDefault="00CE4FA6" w:rsidP="00CE4FA6">
      <w:pPr>
        <w:rPr>
          <w:i/>
        </w:rPr>
      </w:pPr>
      <w:r w:rsidRPr="00CE4FA6">
        <w:rPr>
          <w:i/>
        </w:rPr>
        <w:t>This notice applies to all standards listed on Health Canada's List of Recognized Standards for Medical Devices</w:t>
      </w:r>
    </w:p>
    <w:p w14:paraId="24D3AAF3" w14:textId="77777777" w:rsidR="00CE4FA6" w:rsidRPr="00CE4FA6" w:rsidRDefault="00CE4FA6" w:rsidP="00CE4FA6">
      <w:pPr>
        <w:rPr>
          <w:i/>
        </w:rPr>
      </w:pPr>
    </w:p>
    <w:p w14:paraId="675203A4" w14:textId="77777777" w:rsidR="00CE4FA6" w:rsidRPr="00CE4FA6" w:rsidRDefault="00CE4FA6" w:rsidP="00CE4FA6">
      <w:pPr>
        <w:rPr>
          <w:b/>
          <w:i/>
        </w:rPr>
      </w:pPr>
      <w:r w:rsidRPr="00CE4FA6">
        <w:rPr>
          <w:b/>
          <w:i/>
        </w:rPr>
        <w:t>Notice – Version Recogni</w:t>
      </w:r>
      <w:r w:rsidR="001B7639">
        <w:rPr>
          <w:b/>
          <w:i/>
        </w:rPr>
        <w:t>tion for</w:t>
      </w:r>
      <w:r w:rsidRPr="00CE4FA6">
        <w:rPr>
          <w:b/>
          <w:i/>
        </w:rPr>
        <w:t xml:space="preserve"> Medical Device Related Standards</w:t>
      </w:r>
    </w:p>
    <w:p w14:paraId="5062A2D6" w14:textId="77777777" w:rsidR="00CE4FA6" w:rsidRPr="00CE4FA6" w:rsidRDefault="00CE4FA6" w:rsidP="00CE4FA6">
      <w:pPr>
        <w:rPr>
          <w:i/>
        </w:rPr>
      </w:pPr>
    </w:p>
    <w:p w14:paraId="730DDA09" w14:textId="77777777" w:rsidR="00CE4FA6" w:rsidRPr="00CE4FA6" w:rsidRDefault="00CE4FA6" w:rsidP="00CE4FA6">
      <w:pPr>
        <w:rPr>
          <w:i/>
        </w:rPr>
      </w:pPr>
      <w:r w:rsidRPr="00CE4FA6">
        <w:rPr>
          <w:i/>
        </w:rPr>
        <w:t xml:space="preserve">Recognised standards are displayed by Standards Developing Organization and Standard Designation Number, either without </w:t>
      </w:r>
      <w:r w:rsidR="001B7639">
        <w:rPr>
          <w:i/>
        </w:rPr>
        <w:t xml:space="preserve">specifying the </w:t>
      </w:r>
      <w:r w:rsidRPr="00CE4FA6">
        <w:rPr>
          <w:i/>
        </w:rPr>
        <w:t>edition and year, or with an edition and/or year</w:t>
      </w:r>
      <w:r w:rsidR="001B7639">
        <w:rPr>
          <w:i/>
        </w:rPr>
        <w:t xml:space="preserve"> specified</w:t>
      </w:r>
      <w:r w:rsidRPr="00CE4FA6">
        <w:rPr>
          <w:i/>
        </w:rPr>
        <w:t xml:space="preserve">. </w:t>
      </w:r>
    </w:p>
    <w:p w14:paraId="7572737E" w14:textId="77777777" w:rsidR="00CE4FA6" w:rsidRPr="00CE4FA6" w:rsidRDefault="00CE4FA6" w:rsidP="00CE4FA6">
      <w:pPr>
        <w:rPr>
          <w:i/>
        </w:rPr>
      </w:pPr>
    </w:p>
    <w:p w14:paraId="42C59C17" w14:textId="77777777" w:rsidR="00CE4FA6" w:rsidRPr="00CE4FA6" w:rsidRDefault="00CE4FA6" w:rsidP="00CE4FA6">
      <w:pPr>
        <w:rPr>
          <w:i/>
        </w:rPr>
      </w:pPr>
      <w:r w:rsidRPr="00CE4FA6">
        <w:rPr>
          <w:i/>
        </w:rPr>
        <w:lastRenderedPageBreak/>
        <w:t xml:space="preserve">For standards listed without an edition and year, the latest version of that standard is recognised. However, a three (3) year transition period from the date of publication by the Standards Developing Organization will apply. During this transition period, Health Canada </w:t>
      </w:r>
      <w:r w:rsidR="001B7639">
        <w:rPr>
          <w:i/>
        </w:rPr>
        <w:t>recognizes</w:t>
      </w:r>
      <w:r w:rsidRPr="00CE4FA6">
        <w:rPr>
          <w:i/>
        </w:rPr>
        <w:t xml:space="preserve"> both the most recent version of the standard and the one prior version.</w:t>
      </w:r>
    </w:p>
    <w:p w14:paraId="3201E6D0" w14:textId="77777777" w:rsidR="00CE4FA6" w:rsidRPr="00CE4FA6" w:rsidRDefault="00CE4FA6" w:rsidP="00CE4FA6">
      <w:pPr>
        <w:rPr>
          <w:i/>
        </w:rPr>
      </w:pPr>
    </w:p>
    <w:p w14:paraId="0E0085D8" w14:textId="77777777" w:rsidR="00CE4FA6" w:rsidRPr="00CE4FA6" w:rsidRDefault="00CE4FA6" w:rsidP="00CE4FA6">
      <w:pPr>
        <w:rPr>
          <w:i/>
        </w:rPr>
      </w:pPr>
      <w:r w:rsidRPr="00CE4FA6">
        <w:rPr>
          <w:i/>
        </w:rPr>
        <w:t>For standards listed with an edition and/or year, only that specific version of the standard is recognised. If the edition/year displayed is not the latest version of the standard, newer versions are not recognised. If the edition/year displayed is the latest version of the standard, the transition period does not apply to that standard and only the latest version is recognised.</w:t>
      </w:r>
    </w:p>
    <w:p w14:paraId="451B5F7F" w14:textId="77777777" w:rsidR="00CE4FA6" w:rsidRPr="00CE4FA6" w:rsidRDefault="00CE4FA6" w:rsidP="00CE4FA6">
      <w:pPr>
        <w:rPr>
          <w:i/>
        </w:rPr>
      </w:pPr>
    </w:p>
    <w:p w14:paraId="462B7589" w14:textId="77777777" w:rsidR="002B09A0" w:rsidRDefault="002B09A0" w:rsidP="00D80EB6">
      <w:r>
        <w:t xml:space="preserve"> </w:t>
      </w:r>
    </w:p>
    <w:p w14:paraId="0C48DFEA" w14:textId="77777777" w:rsidR="00D80EB6" w:rsidRPr="00D80EB6" w:rsidRDefault="00D80EB6" w:rsidP="00D80EB6">
      <w:pPr>
        <w:rPr>
          <w:u w:val="single"/>
        </w:rPr>
      </w:pPr>
      <w:r w:rsidRPr="00D80EB6">
        <w:rPr>
          <w:u w:val="single"/>
        </w:rPr>
        <w:t>Guidance document:</w:t>
      </w:r>
    </w:p>
    <w:p w14:paraId="62C2D0FF" w14:textId="77777777" w:rsidR="00D80EB6" w:rsidRDefault="00D80EB6" w:rsidP="00D80EB6">
      <w:r>
        <w:t xml:space="preserve">The </w:t>
      </w:r>
      <w:hyperlink r:id="rId9" w:history="1">
        <w:r w:rsidRPr="00D80EB6">
          <w:rPr>
            <w:rStyle w:val="Hyperlink"/>
          </w:rPr>
          <w:t>guidance document</w:t>
        </w:r>
      </w:hyperlink>
      <w:r>
        <w:t xml:space="preserve"> currently on the HC website would not be altered and would still apply to the proposed method of displaying the List of Recognized Standards. As such, the following statement would still apply:</w:t>
      </w:r>
    </w:p>
    <w:p w14:paraId="66D8C14B" w14:textId="77777777" w:rsidR="00D80EB6" w:rsidRDefault="00D80EB6" w:rsidP="00D80EB6"/>
    <w:p w14:paraId="247C4159" w14:textId="77777777" w:rsidR="00D80EB6" w:rsidRPr="00D80EB6" w:rsidRDefault="00D80EB6" w:rsidP="00D80EB6">
      <w:pPr>
        <w:rPr>
          <w:i/>
        </w:rPr>
      </w:pPr>
      <w:r w:rsidRPr="00D80EB6">
        <w:rPr>
          <w:i/>
        </w:rPr>
        <w:t>Conformance with recognized standards is voluntary for manufacturers. A manufacturer may choose to demonstrate conformance with a recognized standard or may elect to address the relevant issues in another manner.</w:t>
      </w:r>
    </w:p>
    <w:p w14:paraId="4DE3CAC6" w14:textId="77777777" w:rsidR="00D80EB6" w:rsidRPr="00D80EB6" w:rsidRDefault="00D80EB6" w:rsidP="00D80EB6">
      <w:pPr>
        <w:rPr>
          <w:i/>
        </w:rPr>
      </w:pPr>
    </w:p>
    <w:p w14:paraId="36E6E6CC" w14:textId="77777777" w:rsidR="00D80EB6" w:rsidRPr="00D80EB6" w:rsidRDefault="00D80EB6" w:rsidP="00D80EB6">
      <w:pPr>
        <w:rPr>
          <w:i/>
        </w:rPr>
      </w:pPr>
      <w:r w:rsidRPr="00D80EB6">
        <w:rPr>
          <w:i/>
        </w:rPr>
        <w:t>If a standard is recognized, a manufacturer applying for a licence for a device to which that standard applies must either:</w:t>
      </w:r>
    </w:p>
    <w:p w14:paraId="5330E3EB" w14:textId="77777777" w:rsidR="00D80EB6" w:rsidRPr="00D80EB6" w:rsidRDefault="00D80EB6" w:rsidP="00D80EB6">
      <w:pPr>
        <w:rPr>
          <w:i/>
        </w:rPr>
      </w:pPr>
    </w:p>
    <w:p w14:paraId="15A496F9" w14:textId="77777777" w:rsidR="00D80EB6" w:rsidRPr="00D80EB6" w:rsidRDefault="00D80EB6" w:rsidP="00D80EB6">
      <w:pPr>
        <w:pStyle w:val="ListParagraph"/>
        <w:numPr>
          <w:ilvl w:val="0"/>
          <w:numId w:val="2"/>
        </w:numPr>
        <w:rPr>
          <w:i/>
        </w:rPr>
      </w:pPr>
      <w:r w:rsidRPr="00D80EB6">
        <w:rPr>
          <w:i/>
        </w:rPr>
        <w:t>meet the standard; or</w:t>
      </w:r>
    </w:p>
    <w:p w14:paraId="664097CF" w14:textId="77777777" w:rsidR="00D80EB6" w:rsidRPr="00D80EB6" w:rsidRDefault="00D80EB6" w:rsidP="00D80EB6">
      <w:pPr>
        <w:pStyle w:val="ListParagraph"/>
        <w:numPr>
          <w:ilvl w:val="0"/>
          <w:numId w:val="2"/>
        </w:numPr>
        <w:rPr>
          <w:i/>
        </w:rPr>
      </w:pPr>
      <w:r w:rsidRPr="00D80EB6">
        <w:rPr>
          <w:i/>
        </w:rPr>
        <w:t>meet an equivalent or better standard; or</w:t>
      </w:r>
    </w:p>
    <w:p w14:paraId="570CD9BB" w14:textId="77777777" w:rsidR="00D80EB6" w:rsidRPr="00D80EB6" w:rsidRDefault="00D80EB6" w:rsidP="00D80EB6">
      <w:pPr>
        <w:pStyle w:val="ListParagraph"/>
        <w:numPr>
          <w:ilvl w:val="0"/>
          <w:numId w:val="2"/>
        </w:numPr>
        <w:rPr>
          <w:i/>
        </w:rPr>
      </w:pPr>
      <w:r w:rsidRPr="00D80EB6">
        <w:rPr>
          <w:i/>
        </w:rPr>
        <w:t>provide alternate evidence of safety or efficacy</w:t>
      </w:r>
    </w:p>
    <w:p w14:paraId="2309CC9A" w14:textId="77777777" w:rsidR="00D80EB6" w:rsidRPr="00D80EB6" w:rsidRDefault="00D80EB6" w:rsidP="00D80EB6">
      <w:pPr>
        <w:rPr>
          <w:i/>
        </w:rPr>
      </w:pPr>
      <w:r w:rsidRPr="00D80EB6">
        <w:rPr>
          <w:i/>
        </w:rPr>
        <w:lastRenderedPageBreak/>
        <w:t>In case the manufacturer chooses option (b) or (c), detailed information must be submitted with the device licence application. If the manufacturer does none of the above, a licence will not be issued.</w:t>
      </w:r>
    </w:p>
    <w:p w14:paraId="49FAF87A" w14:textId="77777777" w:rsidR="00D80EB6" w:rsidRDefault="00D80EB6" w:rsidP="00D80EB6"/>
    <w:p w14:paraId="3C1B3391" w14:textId="77777777" w:rsidR="00D80EB6" w:rsidRDefault="00D80EB6" w:rsidP="00D80EB6"/>
    <w:p w14:paraId="7A9613F2" w14:textId="77777777" w:rsidR="009176FF" w:rsidRPr="009176FF" w:rsidRDefault="009176FF" w:rsidP="00FD3E96">
      <w:pPr>
        <w:rPr>
          <w:u w:val="single"/>
        </w:rPr>
      </w:pPr>
      <w:r w:rsidRPr="009176FF">
        <w:rPr>
          <w:u w:val="single"/>
        </w:rPr>
        <w:t>Rationale:</w:t>
      </w:r>
    </w:p>
    <w:p w14:paraId="6A8815AF" w14:textId="77777777" w:rsidR="008D449D" w:rsidRDefault="00313166" w:rsidP="002320D6">
      <w:r>
        <w:t>The rationale</w:t>
      </w:r>
      <w:r w:rsidR="007955BF">
        <w:t xml:space="preserve"> for the proposed change</w:t>
      </w:r>
      <w:r>
        <w:t xml:space="preserve"> is </w:t>
      </w:r>
      <w:r w:rsidR="00C75C8F">
        <w:t>the need to</w:t>
      </w:r>
      <w:r w:rsidR="009176FF">
        <w:t xml:space="preserve"> </w:t>
      </w:r>
      <w:r w:rsidR="007955BF">
        <w:t xml:space="preserve">improve the timeliness and predictability of updates to the LORS, </w:t>
      </w:r>
      <w:r w:rsidR="00BF5165">
        <w:t>including</w:t>
      </w:r>
      <w:r w:rsidR="007955BF">
        <w:t xml:space="preserve"> </w:t>
      </w:r>
      <w:r w:rsidR="00925284">
        <w:t xml:space="preserve">the </w:t>
      </w:r>
      <w:r w:rsidR="007955BF">
        <w:t>predictab</w:t>
      </w:r>
      <w:r w:rsidR="00925284">
        <w:t>i</w:t>
      </w:r>
      <w:r w:rsidR="007955BF">
        <w:t>l</w:t>
      </w:r>
      <w:r w:rsidR="00925284">
        <w:t>ity of</w:t>
      </w:r>
      <w:r w:rsidR="007955BF">
        <w:t xml:space="preserve"> transition</w:t>
      </w:r>
      <w:r w:rsidR="00712ACC">
        <w:t>s</w:t>
      </w:r>
      <w:r w:rsidR="007955BF">
        <w:t xml:space="preserve"> to new editions of </w:t>
      </w:r>
      <w:r w:rsidR="00925284">
        <w:t xml:space="preserve">currently </w:t>
      </w:r>
      <w:r w:rsidR="007955BF">
        <w:t>recognized standards</w:t>
      </w:r>
      <w:r w:rsidR="00D27AF7">
        <w:t xml:space="preserve">. This </w:t>
      </w:r>
      <w:r w:rsidR="0016263D">
        <w:t>involves</w:t>
      </w:r>
      <w:r w:rsidR="00D27AF7">
        <w:t xml:space="preserve"> </w:t>
      </w:r>
      <w:r w:rsidR="007955BF">
        <w:t xml:space="preserve">the need to </w:t>
      </w:r>
      <w:r w:rsidR="009176FF">
        <w:t>reduce the</w:t>
      </w:r>
      <w:r w:rsidR="00D27AF7">
        <w:t xml:space="preserve"> internal</w:t>
      </w:r>
      <w:r w:rsidR="009176FF">
        <w:t xml:space="preserve"> administrative and technical resource burden that the current system places on the directorate</w:t>
      </w:r>
      <w:r w:rsidR="00D27AF7">
        <w:t>, as well as the need to decouple updates</w:t>
      </w:r>
      <w:r w:rsidR="0016263D">
        <w:t xml:space="preserve"> to recognized standards</w:t>
      </w:r>
      <w:r w:rsidR="00D27AF7">
        <w:t xml:space="preserve"> from the internal publication pathways and competing publication priorities to the extent possible</w:t>
      </w:r>
      <w:r w:rsidR="009176FF">
        <w:t xml:space="preserve">. </w:t>
      </w:r>
      <w:r>
        <w:t>The current resource burden</w:t>
      </w:r>
      <w:r w:rsidR="00BF5165">
        <w:t xml:space="preserve"> and</w:t>
      </w:r>
      <w:r w:rsidR="0016263D">
        <w:t xml:space="preserve"> publication</w:t>
      </w:r>
      <w:r w:rsidR="00BF5165">
        <w:t xml:space="preserve"> timelines are</w:t>
      </w:r>
      <w:r>
        <w:t xml:space="preserve"> at a level such that it is not possible to maintain an up to date list for currently recognized standards </w:t>
      </w:r>
      <w:r w:rsidR="00D9371C">
        <w:t>and to</w:t>
      </w:r>
      <w:r w:rsidR="00C75C8F">
        <w:t xml:space="preserve"> add relevant new standards to the list</w:t>
      </w:r>
      <w:r w:rsidR="00BF5165">
        <w:t xml:space="preserve">. The proposed plan should result in </w:t>
      </w:r>
      <w:r w:rsidR="00C75C8F">
        <w:t>a</w:t>
      </w:r>
      <w:r w:rsidR="00BF5165">
        <w:t xml:space="preserve"> more</w:t>
      </w:r>
      <w:r w:rsidR="00C75C8F">
        <w:t xml:space="preserve"> current and up</w:t>
      </w:r>
      <w:r w:rsidR="0016263D">
        <w:t>-</w:t>
      </w:r>
      <w:r w:rsidR="00C75C8F">
        <w:t>to</w:t>
      </w:r>
      <w:r w:rsidR="0016263D">
        <w:t>-</w:t>
      </w:r>
      <w:r w:rsidR="00C75C8F">
        <w:t xml:space="preserve">date </w:t>
      </w:r>
      <w:r w:rsidR="00BF5165">
        <w:t xml:space="preserve">LORS </w:t>
      </w:r>
      <w:r w:rsidR="00C75C8F">
        <w:t xml:space="preserve">that better matches the state of </w:t>
      </w:r>
      <w:r w:rsidR="00D9371C">
        <w:t>technology</w:t>
      </w:r>
      <w:r w:rsidR="00C75C8F">
        <w:t xml:space="preserve"> in medical devices,</w:t>
      </w:r>
      <w:r w:rsidR="00BF5165">
        <w:t xml:space="preserve"> as well as improve the predictability of transition to new editions</w:t>
      </w:r>
      <w:r w:rsidR="0016263D">
        <w:t xml:space="preserve"> of recognized standards</w:t>
      </w:r>
      <w:r w:rsidR="00BF5165">
        <w:t>,</w:t>
      </w:r>
      <w:r w:rsidR="00C75C8F">
        <w:t xml:space="preserve"> to the benefit of </w:t>
      </w:r>
      <w:r w:rsidR="008D449D">
        <w:t xml:space="preserve">both the </w:t>
      </w:r>
      <w:r w:rsidR="00C75C8F">
        <w:t>MDD and industry.</w:t>
      </w:r>
    </w:p>
    <w:p w14:paraId="01B4D4A3" w14:textId="77777777" w:rsidR="00CE520A" w:rsidRDefault="00CE520A" w:rsidP="002320D6"/>
    <w:p w14:paraId="114E2093" w14:textId="77777777" w:rsidR="00CE520A" w:rsidRDefault="00CE520A" w:rsidP="002320D6"/>
    <w:p w14:paraId="7D445316" w14:textId="77777777" w:rsidR="009F653C" w:rsidRPr="002320D6" w:rsidRDefault="009F653C" w:rsidP="002320D6">
      <w:r>
        <w:t>We would appreciate your</w:t>
      </w:r>
      <w:r w:rsidR="0060177F">
        <w:t xml:space="preserve"> general feedback on the plan, </w:t>
      </w:r>
      <w:r>
        <w:t>potential pros and cons</w:t>
      </w:r>
      <w:r w:rsidR="0060177F">
        <w:t xml:space="preserve"> of the plan,</w:t>
      </w:r>
      <w:r w:rsidR="00E30504">
        <w:t xml:space="preserve"> and on</w:t>
      </w:r>
      <w:r>
        <w:t xml:space="preserve"> the proposed wording of the </w:t>
      </w:r>
      <w:r w:rsidR="00E30504">
        <w:t>notice.</w:t>
      </w:r>
    </w:p>
    <w:sectPr w:rsidR="009F653C" w:rsidRPr="002320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1186"/>
    <w:multiLevelType w:val="hybridMultilevel"/>
    <w:tmpl w:val="E0607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6A35AA"/>
    <w:multiLevelType w:val="hybridMultilevel"/>
    <w:tmpl w:val="517EB7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D6"/>
    <w:rsid w:val="00003796"/>
    <w:rsid w:val="000072C3"/>
    <w:rsid w:val="00021F43"/>
    <w:rsid w:val="000263A1"/>
    <w:rsid w:val="000467C2"/>
    <w:rsid w:val="00051938"/>
    <w:rsid w:val="000546F5"/>
    <w:rsid w:val="00085C74"/>
    <w:rsid w:val="00091372"/>
    <w:rsid w:val="000C18A4"/>
    <w:rsid w:val="000C25AD"/>
    <w:rsid w:val="000C6A65"/>
    <w:rsid w:val="000C7531"/>
    <w:rsid w:val="000C7628"/>
    <w:rsid w:val="000C7C59"/>
    <w:rsid w:val="000D476B"/>
    <w:rsid w:val="001001AB"/>
    <w:rsid w:val="001163C8"/>
    <w:rsid w:val="00127332"/>
    <w:rsid w:val="00133E1A"/>
    <w:rsid w:val="001373BC"/>
    <w:rsid w:val="001453B8"/>
    <w:rsid w:val="00151914"/>
    <w:rsid w:val="0016263D"/>
    <w:rsid w:val="00165CC4"/>
    <w:rsid w:val="0017652A"/>
    <w:rsid w:val="00183CA5"/>
    <w:rsid w:val="00184817"/>
    <w:rsid w:val="00185108"/>
    <w:rsid w:val="001859F9"/>
    <w:rsid w:val="001A3D1C"/>
    <w:rsid w:val="001B7639"/>
    <w:rsid w:val="001C1325"/>
    <w:rsid w:val="001E346A"/>
    <w:rsid w:val="00214C73"/>
    <w:rsid w:val="00220913"/>
    <w:rsid w:val="00227CD4"/>
    <w:rsid w:val="002320D6"/>
    <w:rsid w:val="00237F4B"/>
    <w:rsid w:val="00247881"/>
    <w:rsid w:val="00250A06"/>
    <w:rsid w:val="00252363"/>
    <w:rsid w:val="002741BF"/>
    <w:rsid w:val="00277B46"/>
    <w:rsid w:val="002835B6"/>
    <w:rsid w:val="002A6187"/>
    <w:rsid w:val="002B09A0"/>
    <w:rsid w:val="002B6BB7"/>
    <w:rsid w:val="00305857"/>
    <w:rsid w:val="00307485"/>
    <w:rsid w:val="003126FF"/>
    <w:rsid w:val="00313166"/>
    <w:rsid w:val="0032282A"/>
    <w:rsid w:val="00326998"/>
    <w:rsid w:val="00331B06"/>
    <w:rsid w:val="00334E3D"/>
    <w:rsid w:val="00346C17"/>
    <w:rsid w:val="003911EB"/>
    <w:rsid w:val="00394AD8"/>
    <w:rsid w:val="003C4DC4"/>
    <w:rsid w:val="003E36F1"/>
    <w:rsid w:val="003E4544"/>
    <w:rsid w:val="0040076E"/>
    <w:rsid w:val="00410A68"/>
    <w:rsid w:val="004138B7"/>
    <w:rsid w:val="00414890"/>
    <w:rsid w:val="00421E42"/>
    <w:rsid w:val="00436138"/>
    <w:rsid w:val="004434ED"/>
    <w:rsid w:val="0045068F"/>
    <w:rsid w:val="00466687"/>
    <w:rsid w:val="004707BE"/>
    <w:rsid w:val="0048470F"/>
    <w:rsid w:val="00495BB4"/>
    <w:rsid w:val="004B256C"/>
    <w:rsid w:val="004C441A"/>
    <w:rsid w:val="004E7B4E"/>
    <w:rsid w:val="005222DF"/>
    <w:rsid w:val="005727DD"/>
    <w:rsid w:val="00573BDC"/>
    <w:rsid w:val="0058414C"/>
    <w:rsid w:val="005A16BC"/>
    <w:rsid w:val="005A48BD"/>
    <w:rsid w:val="005B06F8"/>
    <w:rsid w:val="005B195D"/>
    <w:rsid w:val="005B6A00"/>
    <w:rsid w:val="005C22F2"/>
    <w:rsid w:val="005D2A79"/>
    <w:rsid w:val="005D4431"/>
    <w:rsid w:val="0060177F"/>
    <w:rsid w:val="0060389C"/>
    <w:rsid w:val="00613F51"/>
    <w:rsid w:val="00627215"/>
    <w:rsid w:val="00635FAA"/>
    <w:rsid w:val="00641EFB"/>
    <w:rsid w:val="00645825"/>
    <w:rsid w:val="00646E0E"/>
    <w:rsid w:val="00650D53"/>
    <w:rsid w:val="006550D5"/>
    <w:rsid w:val="00663B0A"/>
    <w:rsid w:val="006760B0"/>
    <w:rsid w:val="006801CA"/>
    <w:rsid w:val="006957AD"/>
    <w:rsid w:val="006A0014"/>
    <w:rsid w:val="006D0B20"/>
    <w:rsid w:val="006D3389"/>
    <w:rsid w:val="006E03C4"/>
    <w:rsid w:val="006F08C1"/>
    <w:rsid w:val="006F3CB7"/>
    <w:rsid w:val="00712ACC"/>
    <w:rsid w:val="007232C7"/>
    <w:rsid w:val="0073036F"/>
    <w:rsid w:val="007517DC"/>
    <w:rsid w:val="00752922"/>
    <w:rsid w:val="007536CA"/>
    <w:rsid w:val="00762A80"/>
    <w:rsid w:val="007955BF"/>
    <w:rsid w:val="007F3158"/>
    <w:rsid w:val="00802A50"/>
    <w:rsid w:val="00813DFD"/>
    <w:rsid w:val="00833836"/>
    <w:rsid w:val="00837A4A"/>
    <w:rsid w:val="00847EEF"/>
    <w:rsid w:val="00867B45"/>
    <w:rsid w:val="00873886"/>
    <w:rsid w:val="008A5748"/>
    <w:rsid w:val="008A5F18"/>
    <w:rsid w:val="008B5A16"/>
    <w:rsid w:val="008B63C1"/>
    <w:rsid w:val="008D3F6E"/>
    <w:rsid w:val="008D4398"/>
    <w:rsid w:val="008D449D"/>
    <w:rsid w:val="008D475F"/>
    <w:rsid w:val="008E5BF5"/>
    <w:rsid w:val="008F7D58"/>
    <w:rsid w:val="009176FF"/>
    <w:rsid w:val="00925284"/>
    <w:rsid w:val="009421C6"/>
    <w:rsid w:val="00954D8B"/>
    <w:rsid w:val="00957B2D"/>
    <w:rsid w:val="00974674"/>
    <w:rsid w:val="00974C3C"/>
    <w:rsid w:val="00976F41"/>
    <w:rsid w:val="009A14B5"/>
    <w:rsid w:val="009B274E"/>
    <w:rsid w:val="009C455D"/>
    <w:rsid w:val="009D0CF4"/>
    <w:rsid w:val="009D34A3"/>
    <w:rsid w:val="009F1531"/>
    <w:rsid w:val="009F653C"/>
    <w:rsid w:val="009F7EF2"/>
    <w:rsid w:val="00A05E72"/>
    <w:rsid w:val="00A11715"/>
    <w:rsid w:val="00A25655"/>
    <w:rsid w:val="00A50861"/>
    <w:rsid w:val="00A53FBC"/>
    <w:rsid w:val="00A762D3"/>
    <w:rsid w:val="00A86FAC"/>
    <w:rsid w:val="00A8791F"/>
    <w:rsid w:val="00A90406"/>
    <w:rsid w:val="00A92B38"/>
    <w:rsid w:val="00AA537D"/>
    <w:rsid w:val="00AC7F78"/>
    <w:rsid w:val="00AE51BB"/>
    <w:rsid w:val="00B06E5A"/>
    <w:rsid w:val="00B13B09"/>
    <w:rsid w:val="00B14764"/>
    <w:rsid w:val="00B14DD0"/>
    <w:rsid w:val="00B168B6"/>
    <w:rsid w:val="00B26DE4"/>
    <w:rsid w:val="00B368A2"/>
    <w:rsid w:val="00B514E4"/>
    <w:rsid w:val="00B53AC3"/>
    <w:rsid w:val="00B5567D"/>
    <w:rsid w:val="00B607D1"/>
    <w:rsid w:val="00B61889"/>
    <w:rsid w:val="00B642FA"/>
    <w:rsid w:val="00B64690"/>
    <w:rsid w:val="00B6517E"/>
    <w:rsid w:val="00B80E7D"/>
    <w:rsid w:val="00B849C1"/>
    <w:rsid w:val="00B87FE7"/>
    <w:rsid w:val="00B92103"/>
    <w:rsid w:val="00BA2916"/>
    <w:rsid w:val="00BD363D"/>
    <w:rsid w:val="00BE3D2F"/>
    <w:rsid w:val="00BF4467"/>
    <w:rsid w:val="00BF5165"/>
    <w:rsid w:val="00C102FE"/>
    <w:rsid w:val="00C117C7"/>
    <w:rsid w:val="00C12F59"/>
    <w:rsid w:val="00C46311"/>
    <w:rsid w:val="00C53CAB"/>
    <w:rsid w:val="00C56121"/>
    <w:rsid w:val="00C56487"/>
    <w:rsid w:val="00C753C1"/>
    <w:rsid w:val="00C75C8F"/>
    <w:rsid w:val="00C96861"/>
    <w:rsid w:val="00CA2F18"/>
    <w:rsid w:val="00CA4D05"/>
    <w:rsid w:val="00CC3EC2"/>
    <w:rsid w:val="00CD1C60"/>
    <w:rsid w:val="00CE0F17"/>
    <w:rsid w:val="00CE119B"/>
    <w:rsid w:val="00CE4FA6"/>
    <w:rsid w:val="00CE520A"/>
    <w:rsid w:val="00CE6778"/>
    <w:rsid w:val="00D0212F"/>
    <w:rsid w:val="00D03978"/>
    <w:rsid w:val="00D15362"/>
    <w:rsid w:val="00D156B2"/>
    <w:rsid w:val="00D27AF7"/>
    <w:rsid w:val="00D471CC"/>
    <w:rsid w:val="00D51724"/>
    <w:rsid w:val="00D53501"/>
    <w:rsid w:val="00D659DB"/>
    <w:rsid w:val="00D66F0B"/>
    <w:rsid w:val="00D72D03"/>
    <w:rsid w:val="00D80243"/>
    <w:rsid w:val="00D80EB6"/>
    <w:rsid w:val="00D87750"/>
    <w:rsid w:val="00D9371C"/>
    <w:rsid w:val="00DC46C1"/>
    <w:rsid w:val="00DD4848"/>
    <w:rsid w:val="00DD6680"/>
    <w:rsid w:val="00DE40AA"/>
    <w:rsid w:val="00DF0F15"/>
    <w:rsid w:val="00DF3BEF"/>
    <w:rsid w:val="00E04FE7"/>
    <w:rsid w:val="00E103E3"/>
    <w:rsid w:val="00E30504"/>
    <w:rsid w:val="00E37594"/>
    <w:rsid w:val="00E44F2A"/>
    <w:rsid w:val="00E631F7"/>
    <w:rsid w:val="00E65EA2"/>
    <w:rsid w:val="00E70F88"/>
    <w:rsid w:val="00E83424"/>
    <w:rsid w:val="00E9137F"/>
    <w:rsid w:val="00E9183E"/>
    <w:rsid w:val="00E9606B"/>
    <w:rsid w:val="00EB24AB"/>
    <w:rsid w:val="00EC259F"/>
    <w:rsid w:val="00EC4CC0"/>
    <w:rsid w:val="00EE42E5"/>
    <w:rsid w:val="00F07C8A"/>
    <w:rsid w:val="00F10D7F"/>
    <w:rsid w:val="00F21B65"/>
    <w:rsid w:val="00F22D89"/>
    <w:rsid w:val="00F50982"/>
    <w:rsid w:val="00F62636"/>
    <w:rsid w:val="00F700EF"/>
    <w:rsid w:val="00F859AB"/>
    <w:rsid w:val="00FB2073"/>
    <w:rsid w:val="00FB4DBF"/>
    <w:rsid w:val="00FD2AA0"/>
    <w:rsid w:val="00FD3E96"/>
    <w:rsid w:val="00FE5DE8"/>
    <w:rsid w:val="00FE7A7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91137"/>
  <w15:chartTrackingRefBased/>
  <w15:docId w15:val="{4F75C167-C220-447E-94D6-6555E73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320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C968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43"/>
    <w:rPr>
      <w:color w:val="808080"/>
    </w:rPr>
  </w:style>
  <w:style w:type="paragraph" w:styleId="BalloonText">
    <w:name w:val="Balloon Text"/>
    <w:basedOn w:val="Normal"/>
    <w:link w:val="BalloonTextChar"/>
    <w:rsid w:val="00021F43"/>
    <w:rPr>
      <w:rFonts w:ascii="Tahoma" w:hAnsi="Tahoma" w:cs="Tahoma"/>
      <w:sz w:val="16"/>
      <w:szCs w:val="16"/>
    </w:rPr>
  </w:style>
  <w:style w:type="character" w:customStyle="1" w:styleId="BalloonTextChar">
    <w:name w:val="Balloon Text Char"/>
    <w:basedOn w:val="DefaultParagraphFont"/>
    <w:link w:val="BalloonText"/>
    <w:rsid w:val="00021F43"/>
    <w:rPr>
      <w:rFonts w:ascii="Tahoma" w:hAnsi="Tahoma" w:cs="Tahoma"/>
      <w:sz w:val="16"/>
      <w:szCs w:val="16"/>
    </w:rPr>
  </w:style>
  <w:style w:type="character" w:customStyle="1" w:styleId="Heading1Char">
    <w:name w:val="Heading 1 Char"/>
    <w:basedOn w:val="DefaultParagraphFont"/>
    <w:link w:val="Heading1"/>
    <w:rsid w:val="002320D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2320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20D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C9686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21B65"/>
    <w:pPr>
      <w:ind w:left="720"/>
      <w:contextualSpacing/>
    </w:pPr>
  </w:style>
  <w:style w:type="character" w:styleId="Hyperlink">
    <w:name w:val="Hyperlink"/>
    <w:basedOn w:val="DefaultParagraphFont"/>
    <w:unhideWhenUsed/>
    <w:rsid w:val="00D8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9408">
      <w:bodyDiv w:val="1"/>
      <w:marLeft w:val="0"/>
      <w:marRight w:val="0"/>
      <w:marTop w:val="0"/>
      <w:marBottom w:val="0"/>
      <w:divBdr>
        <w:top w:val="none" w:sz="0" w:space="0" w:color="auto"/>
        <w:left w:val="none" w:sz="0" w:space="0" w:color="auto"/>
        <w:bottom w:val="none" w:sz="0" w:space="0" w:color="auto"/>
        <w:right w:val="none" w:sz="0" w:space="0" w:color="auto"/>
      </w:divBdr>
      <w:divsChild>
        <w:div w:id="868565130">
          <w:marLeft w:val="0"/>
          <w:marRight w:val="0"/>
          <w:marTop w:val="0"/>
          <w:marBottom w:val="0"/>
          <w:divBdr>
            <w:top w:val="none" w:sz="0" w:space="0" w:color="auto"/>
            <w:left w:val="none" w:sz="0" w:space="0" w:color="auto"/>
            <w:bottom w:val="none" w:sz="0" w:space="0" w:color="auto"/>
            <w:right w:val="none" w:sz="0" w:space="0" w:color="auto"/>
          </w:divBdr>
        </w:div>
        <w:div w:id="310134606">
          <w:marLeft w:val="0"/>
          <w:marRight w:val="0"/>
          <w:marTop w:val="0"/>
          <w:marBottom w:val="0"/>
          <w:divBdr>
            <w:top w:val="none" w:sz="0" w:space="0" w:color="auto"/>
            <w:left w:val="none" w:sz="0" w:space="0" w:color="auto"/>
            <w:bottom w:val="none" w:sz="0" w:space="0" w:color="auto"/>
            <w:right w:val="none" w:sz="0" w:space="0" w:color="auto"/>
          </w:divBdr>
        </w:div>
      </w:divsChild>
    </w:div>
    <w:div w:id="776564363">
      <w:bodyDiv w:val="1"/>
      <w:marLeft w:val="0"/>
      <w:marRight w:val="0"/>
      <w:marTop w:val="0"/>
      <w:marBottom w:val="0"/>
      <w:divBdr>
        <w:top w:val="none" w:sz="0" w:space="0" w:color="auto"/>
        <w:left w:val="none" w:sz="0" w:space="0" w:color="auto"/>
        <w:bottom w:val="none" w:sz="0" w:space="0" w:color="auto"/>
        <w:right w:val="none" w:sz="0" w:space="0" w:color="auto"/>
      </w:divBdr>
    </w:div>
    <w:div w:id="1223445406">
      <w:bodyDiv w:val="1"/>
      <w:marLeft w:val="0"/>
      <w:marRight w:val="0"/>
      <w:marTop w:val="0"/>
      <w:marBottom w:val="0"/>
      <w:divBdr>
        <w:top w:val="none" w:sz="0" w:space="0" w:color="auto"/>
        <w:left w:val="none" w:sz="0" w:space="0" w:color="auto"/>
        <w:bottom w:val="none" w:sz="0" w:space="0" w:color="auto"/>
        <w:right w:val="none" w:sz="0" w:space="0" w:color="auto"/>
      </w:divBdr>
      <w:divsChild>
        <w:div w:id="274292065">
          <w:marLeft w:val="0"/>
          <w:marRight w:val="0"/>
          <w:marTop w:val="0"/>
          <w:marBottom w:val="0"/>
          <w:divBdr>
            <w:top w:val="none" w:sz="0" w:space="0" w:color="auto"/>
            <w:left w:val="none" w:sz="0" w:space="0" w:color="auto"/>
            <w:bottom w:val="none" w:sz="0" w:space="0" w:color="auto"/>
            <w:right w:val="none" w:sz="0" w:space="0" w:color="auto"/>
          </w:divBdr>
        </w:div>
        <w:div w:id="1779443284">
          <w:marLeft w:val="0"/>
          <w:marRight w:val="0"/>
          <w:marTop w:val="0"/>
          <w:marBottom w:val="0"/>
          <w:divBdr>
            <w:top w:val="none" w:sz="0" w:space="0" w:color="auto"/>
            <w:left w:val="none" w:sz="0" w:space="0" w:color="auto"/>
            <w:bottom w:val="none" w:sz="0" w:space="0" w:color="auto"/>
            <w:right w:val="none" w:sz="0" w:space="0" w:color="auto"/>
          </w:divBdr>
        </w:div>
        <w:div w:id="788352461">
          <w:marLeft w:val="0"/>
          <w:marRight w:val="0"/>
          <w:marTop w:val="0"/>
          <w:marBottom w:val="0"/>
          <w:divBdr>
            <w:top w:val="none" w:sz="0" w:space="0" w:color="auto"/>
            <w:left w:val="none" w:sz="0" w:space="0" w:color="auto"/>
            <w:bottom w:val="none" w:sz="0" w:space="0" w:color="auto"/>
            <w:right w:val="none" w:sz="0" w:space="0" w:color="auto"/>
          </w:divBdr>
        </w:div>
        <w:div w:id="1368602409">
          <w:marLeft w:val="0"/>
          <w:marRight w:val="0"/>
          <w:marTop w:val="0"/>
          <w:marBottom w:val="0"/>
          <w:divBdr>
            <w:top w:val="none" w:sz="0" w:space="0" w:color="auto"/>
            <w:left w:val="none" w:sz="0" w:space="0" w:color="auto"/>
            <w:bottom w:val="none" w:sz="0" w:space="0" w:color="auto"/>
            <w:right w:val="none" w:sz="0" w:space="0" w:color="auto"/>
          </w:divBdr>
        </w:div>
      </w:divsChild>
    </w:div>
    <w:div w:id="14754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medical-devices/standards/list-recognized-standards-medical-devices-guidanc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health-canada/services/drugs-health-products/medical-devices/application-information/guidance-documents/guidance-document-recognition-use-standards-under-medical-devices-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2335e919eab8be85cb43139265d40b38">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0166dac8b0d93121fd773f3db570d580"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C0D13-E2B9-4390-9D4F-EF302C38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746A0-32D5-44F8-9CA7-C77D64398CF1}">
  <ds:schemaRefs>
    <ds:schemaRef ds:uri="http://schemas.microsoft.com/sharepoint/v3/contenttype/forms"/>
  </ds:schemaRefs>
</ds:datastoreItem>
</file>

<file path=customXml/itemProps3.xml><?xml version="1.0" encoding="utf-8"?>
<ds:datastoreItem xmlns:ds="http://schemas.openxmlformats.org/officeDocument/2006/customXml" ds:itemID="{D4245B22-59B2-463A-B04B-6638A7503B32}">
  <ds:schemaRefs>
    <ds:schemaRef ds:uri="a1c7653d-d0a9-4a9e-8039-9f6c7086724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a23a45f-f767-4528-886f-1c9bae1748ed"/>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Alexander (HC/SC)</dc:creator>
  <cp:keywords/>
  <dc:description/>
  <cp:lastModifiedBy>Soltys, Kathy (HC/SC)</cp:lastModifiedBy>
  <cp:revision>2</cp:revision>
  <cp:lastPrinted>2016-02-02T16:06:00Z</cp:lastPrinted>
  <dcterms:created xsi:type="dcterms:W3CDTF">2022-02-17T22:26:00Z</dcterms:created>
  <dcterms:modified xsi:type="dcterms:W3CDTF">2022-02-17T22:26:00Z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